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1D" w:rsidRDefault="00677A1D" w:rsidP="008E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Годовой отчет</w:t>
      </w:r>
    </w:p>
    <w:p w:rsidR="00677A1D" w:rsidRDefault="00F33765" w:rsidP="008E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</w:t>
      </w:r>
      <w:r w:rsidR="00677A1D">
        <w:rPr>
          <w:b/>
          <w:sz w:val="28"/>
          <w:szCs w:val="28"/>
        </w:rPr>
        <w:t xml:space="preserve">еализации </w:t>
      </w:r>
      <w:r>
        <w:rPr>
          <w:b/>
          <w:sz w:val="28"/>
          <w:szCs w:val="28"/>
        </w:rPr>
        <w:t xml:space="preserve"> и  об оценке  эффективности реализации муниципальных </w:t>
      </w:r>
      <w:r w:rsidR="00677A1D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Шебалинского</w:t>
      </w:r>
      <w:proofErr w:type="spellEnd"/>
      <w:r>
        <w:rPr>
          <w:b/>
          <w:sz w:val="28"/>
          <w:szCs w:val="28"/>
        </w:rPr>
        <w:t xml:space="preserve"> сельского поселения за 2021 год.</w:t>
      </w:r>
      <w:r w:rsidR="00677A1D">
        <w:rPr>
          <w:b/>
          <w:sz w:val="28"/>
          <w:szCs w:val="28"/>
        </w:rPr>
        <w:t xml:space="preserve"> </w:t>
      </w:r>
    </w:p>
    <w:p w:rsidR="00F33765" w:rsidRDefault="00F33765" w:rsidP="00F337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2021 году на  территории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 осуществлялась реализация двух программ, на которые предусмотрены  ассигнования</w:t>
      </w:r>
      <w:r w:rsidR="00701B75">
        <w:rPr>
          <w:sz w:val="24"/>
          <w:szCs w:val="24"/>
        </w:rPr>
        <w:t xml:space="preserve"> (с учетом внесенных изменений ) -10802,6 тыс</w:t>
      </w:r>
      <w:proofErr w:type="gramStart"/>
      <w:r w:rsidR="00701B75">
        <w:rPr>
          <w:sz w:val="24"/>
          <w:szCs w:val="24"/>
        </w:rPr>
        <w:t>.р</w:t>
      </w:r>
      <w:proofErr w:type="gramEnd"/>
      <w:r w:rsidR="00701B75">
        <w:rPr>
          <w:sz w:val="24"/>
          <w:szCs w:val="24"/>
        </w:rPr>
        <w:t>уб., фактическое исполнение за 12 месяцев 2021 года составило 9628,7 тыс.руб.</w:t>
      </w:r>
    </w:p>
    <w:p w:rsidR="00701B75" w:rsidRDefault="00701B75" w:rsidP="00F33765">
      <w:pPr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муниципальных программ производилась ответственными исполнителями программ в соответствии с целевыми индикаторами, установленными в муниципальных программах.</w:t>
      </w:r>
    </w:p>
    <w:p w:rsidR="008E374D" w:rsidRDefault="008E374D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Деятельность Администрации МО </w:t>
      </w:r>
      <w:proofErr w:type="spellStart"/>
      <w:r>
        <w:rPr>
          <w:sz w:val="24"/>
          <w:szCs w:val="24"/>
        </w:rPr>
        <w:t>Шебалинское</w:t>
      </w:r>
      <w:proofErr w:type="spellEnd"/>
      <w:r>
        <w:rPr>
          <w:sz w:val="24"/>
          <w:szCs w:val="24"/>
        </w:rPr>
        <w:t xml:space="preserve"> сельское поселение в 20</w:t>
      </w:r>
      <w:r w:rsidR="00677A1D">
        <w:rPr>
          <w:sz w:val="24"/>
          <w:szCs w:val="24"/>
        </w:rPr>
        <w:t>21</w:t>
      </w:r>
      <w:r>
        <w:rPr>
          <w:sz w:val="24"/>
          <w:szCs w:val="24"/>
        </w:rPr>
        <w:t xml:space="preserve"> году была направлена на удержание достигнутой ранее положительной динамики развития экономики, на повышение  устойчивого исполнения бюджета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поселения, улучшения ситуации в социальной сфере, на комфортность проживания на территории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8E374D" w:rsidRDefault="008E374D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течение 20</w:t>
      </w:r>
      <w:r w:rsidR="00677A1D">
        <w:rPr>
          <w:sz w:val="24"/>
          <w:szCs w:val="24"/>
        </w:rPr>
        <w:t>21</w:t>
      </w:r>
      <w:r>
        <w:rPr>
          <w:sz w:val="24"/>
          <w:szCs w:val="24"/>
        </w:rPr>
        <w:t xml:space="preserve"> года сохранялась стабильность социально-экономическая ситуация в  поселении. Принимались необходимые меры для обеспечения нормальных условий для проживания жителей поселения, их социальной защиты, соблюдения на территории поселения общественной безопасности и правопорядка.</w:t>
      </w:r>
    </w:p>
    <w:p w:rsidR="00701B75" w:rsidRDefault="00701B75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>Эффективность реализации программ определяется индивидуально по каждой муниципальной программе на основании методик оценки эффективности.</w:t>
      </w:r>
    </w:p>
    <w:p w:rsidR="00701B75" w:rsidRDefault="00701B75" w:rsidP="00701B75">
      <w:pPr>
        <w:jc w:val="center"/>
        <w:rPr>
          <w:sz w:val="24"/>
          <w:szCs w:val="24"/>
        </w:rPr>
      </w:pPr>
      <w:r>
        <w:rPr>
          <w:sz w:val="24"/>
          <w:szCs w:val="24"/>
        </w:rPr>
        <w:t>Результаты проведенной оценки приведены в таблице №1.</w:t>
      </w:r>
    </w:p>
    <w:tbl>
      <w:tblPr>
        <w:tblW w:w="9007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9"/>
        <w:gridCol w:w="4557"/>
        <w:gridCol w:w="1803"/>
        <w:gridCol w:w="2088"/>
      </w:tblGrid>
      <w:tr w:rsidR="00701B75" w:rsidTr="00701B75">
        <w:trPr>
          <w:trHeight w:val="271"/>
        </w:trPr>
        <w:tc>
          <w:tcPr>
            <w:tcW w:w="516" w:type="dxa"/>
          </w:tcPr>
          <w:p w:rsidR="00701B75" w:rsidRDefault="00D52BD8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592" w:type="dxa"/>
          </w:tcPr>
          <w:p w:rsidR="00701B75" w:rsidRDefault="00D52BD8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807" w:type="dxa"/>
          </w:tcPr>
          <w:p w:rsidR="00701B75" w:rsidRDefault="00D52BD8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целевых показателей, %</w:t>
            </w:r>
          </w:p>
        </w:tc>
        <w:tc>
          <w:tcPr>
            <w:tcW w:w="2092" w:type="dxa"/>
          </w:tcPr>
          <w:p w:rsidR="00701B75" w:rsidRDefault="00D52BD8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бюджетных сре</w:t>
            </w:r>
            <w:proofErr w:type="gramStart"/>
            <w:r>
              <w:rPr>
                <w:sz w:val="24"/>
                <w:szCs w:val="24"/>
              </w:rPr>
              <w:t>дств</w:t>
            </w:r>
            <w:r w:rsidR="009613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 ср</w:t>
            </w:r>
            <w:proofErr w:type="gramEnd"/>
            <w:r>
              <w:rPr>
                <w:sz w:val="24"/>
                <w:szCs w:val="24"/>
              </w:rPr>
              <w:t>авнении с плановыми показателями программы, %</w:t>
            </w:r>
          </w:p>
        </w:tc>
      </w:tr>
      <w:tr w:rsidR="00701B75" w:rsidTr="00701B75">
        <w:trPr>
          <w:trHeight w:val="258"/>
        </w:trPr>
        <w:tc>
          <w:tcPr>
            <w:tcW w:w="516" w:type="dxa"/>
          </w:tcPr>
          <w:p w:rsidR="00701B75" w:rsidRDefault="00D52BD8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92" w:type="dxa"/>
          </w:tcPr>
          <w:p w:rsidR="00701B75" w:rsidRDefault="00D52BD8" w:rsidP="00D52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эффективного функционирования систем обеспечения</w:t>
            </w:r>
          </w:p>
        </w:tc>
        <w:tc>
          <w:tcPr>
            <w:tcW w:w="1807" w:type="dxa"/>
          </w:tcPr>
          <w:p w:rsidR="00701B75" w:rsidRDefault="009613C9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2092" w:type="dxa"/>
          </w:tcPr>
          <w:p w:rsidR="00701B75" w:rsidRDefault="009613C9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</w:tr>
      <w:tr w:rsidR="00701B75" w:rsidTr="00701B75">
        <w:trPr>
          <w:trHeight w:val="285"/>
        </w:trPr>
        <w:tc>
          <w:tcPr>
            <w:tcW w:w="516" w:type="dxa"/>
          </w:tcPr>
          <w:p w:rsidR="00701B75" w:rsidRDefault="00D52BD8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92" w:type="dxa"/>
          </w:tcPr>
          <w:p w:rsidR="00701B75" w:rsidRDefault="00D52BD8" w:rsidP="009613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экономического роста благоприятных условий жизни населения.</w:t>
            </w:r>
          </w:p>
        </w:tc>
        <w:tc>
          <w:tcPr>
            <w:tcW w:w="1807" w:type="dxa"/>
          </w:tcPr>
          <w:p w:rsidR="00701B75" w:rsidRDefault="009613C9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2092" w:type="dxa"/>
          </w:tcPr>
          <w:p w:rsidR="00701B75" w:rsidRDefault="009613C9" w:rsidP="00701B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</w:tr>
      <w:tr w:rsidR="00701B75" w:rsidTr="00701B75">
        <w:trPr>
          <w:trHeight w:val="312"/>
        </w:trPr>
        <w:tc>
          <w:tcPr>
            <w:tcW w:w="516" w:type="dxa"/>
          </w:tcPr>
          <w:p w:rsidR="00701B75" w:rsidRDefault="00701B75" w:rsidP="0070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2" w:type="dxa"/>
          </w:tcPr>
          <w:p w:rsidR="00701B75" w:rsidRDefault="00701B75" w:rsidP="0070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701B75" w:rsidRDefault="00701B75" w:rsidP="00701B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701B75" w:rsidRDefault="00701B75" w:rsidP="00701B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13C9" w:rsidRDefault="000C2E80" w:rsidP="008E374D">
      <w:pPr>
        <w:jc w:val="both"/>
        <w:rPr>
          <w:sz w:val="24"/>
          <w:szCs w:val="24"/>
        </w:rPr>
      </w:pPr>
      <w:r w:rsidRPr="000C2E80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 xml:space="preserve"> рамках реализации установленных целей муниципальной программы, таких как обеспечение долгосрочной сбалансированности и устойчивости местного бюджета, создание условий для эффективного управления муниципальными финансами, в отчетном году решались следующие задачи:</w:t>
      </w:r>
    </w:p>
    <w:p w:rsidR="006B76D8" w:rsidRDefault="006B76D8" w:rsidP="006B76D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Проведение эффективной бюджетной политики;</w:t>
      </w:r>
    </w:p>
    <w:p w:rsidR="006B76D8" w:rsidRDefault="006B76D8" w:rsidP="006B76D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Совершенствование системы распределения и перераспределения финансовых ресурсов, форм и механизмов предоставления межбюджетных трансфертов, выравнивание бюджетной обеспеченности поселения.</w:t>
      </w:r>
    </w:p>
    <w:p w:rsidR="007A1458" w:rsidRDefault="006B76D8" w:rsidP="007A1458">
      <w:pPr>
        <w:jc w:val="both"/>
        <w:rPr>
          <w:sz w:val="24"/>
          <w:szCs w:val="24"/>
        </w:rPr>
      </w:pPr>
      <w:r>
        <w:rPr>
          <w:sz w:val="24"/>
          <w:szCs w:val="24"/>
        </w:rPr>
        <w:t>Реализация большинства основных мероприятий муниципальной программы осуществляется на постоянной основе, сроки их окончания запланированы на 2021 год, что объясняется «обеспечивающим» характером муниципальной программы, т</w:t>
      </w:r>
      <w:proofErr w:type="gramStart"/>
      <w:r>
        <w:rPr>
          <w:sz w:val="24"/>
          <w:szCs w:val="24"/>
        </w:rPr>
        <w:t>.е</w:t>
      </w:r>
      <w:proofErr w:type="gramEnd"/>
      <w:r>
        <w:rPr>
          <w:sz w:val="24"/>
          <w:szCs w:val="24"/>
        </w:rPr>
        <w:t xml:space="preserve"> ее ориентацией на создание общих для всех участников бюджетного процесса условий  механизмов реализации муниципальных программ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 через развитие правого регулирования и методического обеспечения. Из общих результатов реализации муниципальной программы следует отметить следующее.</w:t>
      </w:r>
      <w:r w:rsidR="007A1458" w:rsidRPr="007A1458">
        <w:rPr>
          <w:sz w:val="24"/>
          <w:szCs w:val="24"/>
        </w:rPr>
        <w:t xml:space="preserve"> </w:t>
      </w:r>
      <w:r w:rsidR="007A1458">
        <w:rPr>
          <w:sz w:val="24"/>
          <w:szCs w:val="24"/>
        </w:rPr>
        <w:t>Бюджетная и налоговая политика  в 2021 году направлена на увеличение собственных доходов бюджета сельского поселения, проведения работы по выявлению дополнительных источников доходов бюджета, рост дохода от использования муниципального имущества, повышение эффективности  бюджетных расходов. В течение всего отчетного  периода специалистами  сельского поселения велась работа с населением по вопросу исполнения доходной части бюджета. Проведена работа с населением по уплате налогов.</w:t>
      </w:r>
    </w:p>
    <w:p w:rsidR="007A1458" w:rsidRDefault="007A1458" w:rsidP="007A1458">
      <w:pPr>
        <w:jc w:val="both"/>
        <w:rPr>
          <w:sz w:val="24"/>
          <w:szCs w:val="24"/>
        </w:rPr>
      </w:pPr>
      <w:r>
        <w:rPr>
          <w:sz w:val="24"/>
          <w:szCs w:val="24"/>
        </w:rPr>
        <w:t>В ходе  реализации налоговой политики в 2021 году особое внимание было уделено своевременности и полноте уплаты земельного налога и налога на имущество  физических лиц:</w:t>
      </w:r>
    </w:p>
    <w:p w:rsidR="00C37F99" w:rsidRPr="00507594" w:rsidRDefault="007A1458" w:rsidP="005075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Организовывались личные встречи с должниками, проводилась информационно-разъяснительная работа по своевременной уплате земельного налога и налога на имущество физических лиц.</w:t>
      </w:r>
    </w:p>
    <w:p w:rsidR="00C37F99" w:rsidRDefault="00C37F99" w:rsidP="00C37F99">
      <w:pPr>
        <w:jc w:val="both"/>
        <w:rPr>
          <w:sz w:val="24"/>
          <w:szCs w:val="24"/>
        </w:rPr>
      </w:pPr>
      <w:r>
        <w:rPr>
          <w:sz w:val="24"/>
          <w:szCs w:val="24"/>
        </w:rPr>
        <w:t>Бюджетная и налоговая политика  в 2021 году направлена на увеличение собственных доходов бюджета сельского поселения, проведения работы по выявлению дополнительных источников доходов бюджета, рост дохода от использования муниципального имущества, повышение эффективности  бюджетных расходов. В течение всего отчетного  периода специалистами  сельского поселения велась работа с населением по вопросу исполнения доходной части бюджета. Проведена работа с населением по уплате налогов.</w:t>
      </w:r>
    </w:p>
    <w:p w:rsidR="00C37F99" w:rsidRDefault="00C37F99" w:rsidP="00C37F99">
      <w:pPr>
        <w:jc w:val="both"/>
        <w:rPr>
          <w:sz w:val="24"/>
          <w:szCs w:val="24"/>
        </w:rPr>
      </w:pPr>
      <w:r>
        <w:rPr>
          <w:sz w:val="24"/>
          <w:szCs w:val="24"/>
        </w:rPr>
        <w:t>В ходе  реализации налоговой политики в 2021 году особое внимание было уделено своевременности и полноте уплаты земельного налога и налога на имущество  физических лиц:</w:t>
      </w:r>
    </w:p>
    <w:p w:rsidR="007A1458" w:rsidRPr="00507594" w:rsidRDefault="00C37F99" w:rsidP="0050759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Организовывались личные встречи с должниками, проводилась информационно-разъяснительная работа по своевременной уплате земельного налога и налога на имущество физических лиц.</w:t>
      </w:r>
    </w:p>
    <w:p w:rsidR="007A1458" w:rsidRDefault="007A1458" w:rsidP="0046465E">
      <w:pPr>
        <w:jc w:val="both"/>
        <w:rPr>
          <w:sz w:val="24"/>
          <w:szCs w:val="24"/>
        </w:rPr>
      </w:pPr>
      <w:r w:rsidRPr="00E94CF5">
        <w:rPr>
          <w:sz w:val="24"/>
          <w:szCs w:val="24"/>
        </w:rPr>
        <w:t xml:space="preserve">Одним </w:t>
      </w:r>
      <w:r>
        <w:rPr>
          <w:sz w:val="24"/>
          <w:szCs w:val="24"/>
        </w:rPr>
        <w:t xml:space="preserve"> из важнейших показателей качества уровня жизни является  повышение  материального положения поселения. В  этой связи  </w:t>
      </w:r>
      <w:proofErr w:type="spellStart"/>
      <w:r>
        <w:rPr>
          <w:sz w:val="24"/>
          <w:szCs w:val="24"/>
        </w:rPr>
        <w:t>Шебалинское</w:t>
      </w:r>
      <w:proofErr w:type="spellEnd"/>
      <w:r>
        <w:rPr>
          <w:sz w:val="24"/>
          <w:szCs w:val="24"/>
        </w:rPr>
        <w:t xml:space="preserve"> сельское поселение   приложила особые усилия к тому, чтобы позитивные изменения в экономике поселения позитивно сказались и на жизни людей, проживающих на территории сельского поселения</w:t>
      </w:r>
      <w:r w:rsidR="0046465E">
        <w:rPr>
          <w:sz w:val="24"/>
          <w:szCs w:val="24"/>
        </w:rPr>
        <w:t>.</w:t>
      </w:r>
    </w:p>
    <w:p w:rsidR="006B76D8" w:rsidRDefault="006B76D8" w:rsidP="006B76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По результатам исполнения бюджета в 2021 году достигнута положительная динамика по основным параметрам бюджета.</w:t>
      </w:r>
    </w:p>
    <w:p w:rsidR="006B76D8" w:rsidRPr="006B76D8" w:rsidRDefault="006B76D8" w:rsidP="006B76D8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Доходы бюджета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 ис</w:t>
      </w:r>
      <w:r w:rsidR="00012819">
        <w:rPr>
          <w:sz w:val="24"/>
          <w:szCs w:val="24"/>
        </w:rPr>
        <w:t xml:space="preserve">полнены в объеме 10802,6 </w:t>
      </w:r>
      <w:proofErr w:type="spellStart"/>
      <w:r w:rsidR="00012819">
        <w:rPr>
          <w:sz w:val="24"/>
          <w:szCs w:val="24"/>
        </w:rPr>
        <w:t>тыс.руб</w:t>
      </w:r>
      <w:proofErr w:type="spellEnd"/>
      <w:r w:rsidR="00012819">
        <w:rPr>
          <w:sz w:val="24"/>
          <w:szCs w:val="24"/>
        </w:rPr>
        <w:t xml:space="preserve">,  в том числе налоговые и неналоговые доходы </w:t>
      </w:r>
      <w:r w:rsidR="00AA3F53">
        <w:rPr>
          <w:sz w:val="24"/>
          <w:szCs w:val="24"/>
        </w:rPr>
        <w:t>–</w:t>
      </w:r>
      <w:r w:rsidR="00012819">
        <w:rPr>
          <w:sz w:val="24"/>
          <w:szCs w:val="24"/>
        </w:rPr>
        <w:t xml:space="preserve"> 6</w:t>
      </w:r>
      <w:r w:rsidR="00AA3F53">
        <w:rPr>
          <w:sz w:val="24"/>
          <w:szCs w:val="24"/>
        </w:rPr>
        <w:t>244,3</w:t>
      </w:r>
      <w:r w:rsidR="00012819">
        <w:rPr>
          <w:sz w:val="24"/>
          <w:szCs w:val="24"/>
        </w:rPr>
        <w:t xml:space="preserve"> тыс.руб</w:t>
      </w:r>
      <w:proofErr w:type="gramStart"/>
      <w:r w:rsidR="00012819">
        <w:rPr>
          <w:sz w:val="24"/>
          <w:szCs w:val="24"/>
        </w:rPr>
        <w:t>.Р</w:t>
      </w:r>
      <w:proofErr w:type="gramEnd"/>
      <w:r w:rsidR="00012819">
        <w:rPr>
          <w:sz w:val="24"/>
          <w:szCs w:val="24"/>
        </w:rPr>
        <w:t>асходы бюджета исполнены в объеме 9628,7 тыс.руб.</w:t>
      </w:r>
    </w:p>
    <w:p w:rsidR="00AA3F53" w:rsidRDefault="00AA3F53" w:rsidP="00AA3F5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Исполнение доходной части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 в 2021 году:</w:t>
      </w:r>
    </w:p>
    <w:tbl>
      <w:tblPr>
        <w:tblW w:w="0" w:type="auto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"/>
        <w:gridCol w:w="679"/>
        <w:gridCol w:w="2589"/>
        <w:gridCol w:w="1114"/>
        <w:gridCol w:w="1447"/>
        <w:gridCol w:w="2037"/>
      </w:tblGrid>
      <w:tr w:rsidR="00AA3F53" w:rsidTr="00E034A2">
        <w:trPr>
          <w:gridBefore w:val="1"/>
          <w:wBefore w:w="666" w:type="dxa"/>
          <w:trHeight w:val="435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58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Наименование налога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</w:p>
        </w:tc>
        <w:tc>
          <w:tcPr>
            <w:tcW w:w="203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исполнения</w:t>
            </w:r>
          </w:p>
        </w:tc>
      </w:tr>
      <w:tr w:rsidR="00AA3F53" w:rsidTr="00E034A2">
        <w:trPr>
          <w:gridBefore w:val="1"/>
          <w:wBefore w:w="666" w:type="dxa"/>
          <w:trHeight w:val="203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8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НДФЛ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1117,3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1255,8</w:t>
            </w:r>
          </w:p>
        </w:tc>
        <w:tc>
          <w:tcPr>
            <w:tcW w:w="2037" w:type="dxa"/>
          </w:tcPr>
          <w:p w:rsidR="00AA3F53" w:rsidRDefault="00D27C1B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112,4</w:t>
            </w:r>
          </w:p>
        </w:tc>
      </w:tr>
      <w:tr w:rsidR="00AA3F53" w:rsidTr="00E034A2">
        <w:trPr>
          <w:gridBefore w:val="1"/>
          <w:wBefore w:w="666" w:type="dxa"/>
          <w:trHeight w:val="211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8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Сельскохозяйственный налог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297,6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212,6</w:t>
            </w:r>
          </w:p>
        </w:tc>
        <w:tc>
          <w:tcPr>
            <w:tcW w:w="2037" w:type="dxa"/>
          </w:tcPr>
          <w:p w:rsidR="00AA3F53" w:rsidRDefault="00D27C1B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0,71</w:t>
            </w:r>
          </w:p>
        </w:tc>
      </w:tr>
      <w:tr w:rsidR="00AA3F53" w:rsidTr="00E034A2">
        <w:trPr>
          <w:gridBefore w:val="1"/>
          <w:wBefore w:w="666" w:type="dxa"/>
          <w:trHeight w:val="312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8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718,0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1186,6</w:t>
            </w:r>
          </w:p>
        </w:tc>
        <w:tc>
          <w:tcPr>
            <w:tcW w:w="2037" w:type="dxa"/>
          </w:tcPr>
          <w:p w:rsidR="00AA3F53" w:rsidRDefault="00D27C1B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165,3</w:t>
            </w:r>
          </w:p>
        </w:tc>
      </w:tr>
      <w:tr w:rsidR="00AA3F53" w:rsidTr="00E034A2">
        <w:trPr>
          <w:gridBefore w:val="1"/>
          <w:wBefore w:w="666" w:type="dxa"/>
          <w:trHeight w:val="299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8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2967,1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3429,4</w:t>
            </w:r>
          </w:p>
        </w:tc>
        <w:tc>
          <w:tcPr>
            <w:tcW w:w="2037" w:type="dxa"/>
          </w:tcPr>
          <w:p w:rsidR="00AA3F53" w:rsidRDefault="00D27C1B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115,6</w:t>
            </w:r>
          </w:p>
        </w:tc>
      </w:tr>
      <w:tr w:rsidR="00AA3F53" w:rsidTr="00E034A2">
        <w:trPr>
          <w:trHeight w:val="312"/>
        </w:trPr>
        <w:tc>
          <w:tcPr>
            <w:tcW w:w="666" w:type="dxa"/>
            <w:tcBorders>
              <w:top w:val="nil"/>
              <w:left w:val="nil"/>
            </w:tcBorders>
            <w:shd w:val="clear" w:color="auto" w:fill="auto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AA3F53" w:rsidRPr="0043185A" w:rsidRDefault="00AA3F53" w:rsidP="00E034A2">
            <w:pPr>
              <w:jc w:val="both"/>
              <w:rPr>
                <w:b/>
                <w:sz w:val="24"/>
                <w:szCs w:val="24"/>
              </w:rPr>
            </w:pPr>
            <w:r w:rsidRPr="0043185A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114" w:type="dxa"/>
          </w:tcPr>
          <w:p w:rsidR="00AA3F53" w:rsidRPr="0043185A" w:rsidRDefault="00AA3F53" w:rsidP="00E034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5100,0</w:t>
            </w:r>
          </w:p>
        </w:tc>
        <w:tc>
          <w:tcPr>
            <w:tcW w:w="1447" w:type="dxa"/>
          </w:tcPr>
          <w:p w:rsidR="00AA3F53" w:rsidRPr="0043185A" w:rsidRDefault="00AA3F53" w:rsidP="00E034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6084,4</w:t>
            </w:r>
          </w:p>
        </w:tc>
        <w:tc>
          <w:tcPr>
            <w:tcW w:w="2037" w:type="dxa"/>
          </w:tcPr>
          <w:p w:rsidR="00AA3F53" w:rsidRPr="00D27C1B" w:rsidRDefault="00D27C1B" w:rsidP="00E034A2">
            <w:pPr>
              <w:jc w:val="both"/>
              <w:rPr>
                <w:b/>
                <w:sz w:val="24"/>
                <w:szCs w:val="24"/>
              </w:rPr>
            </w:pPr>
            <w:r w:rsidRPr="00D27C1B">
              <w:rPr>
                <w:b/>
                <w:sz w:val="24"/>
                <w:szCs w:val="24"/>
              </w:rPr>
              <w:t>119,3</w:t>
            </w:r>
          </w:p>
        </w:tc>
      </w:tr>
      <w:tr w:rsidR="00AA3F53" w:rsidTr="00E034A2">
        <w:trPr>
          <w:gridBefore w:val="1"/>
          <w:wBefore w:w="666" w:type="dxa"/>
          <w:trHeight w:val="224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8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35,4</w:t>
            </w:r>
          </w:p>
        </w:tc>
        <w:tc>
          <w:tcPr>
            <w:tcW w:w="2037" w:type="dxa"/>
          </w:tcPr>
          <w:p w:rsidR="00AA3F53" w:rsidRDefault="00D27C1B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3F53" w:rsidTr="00AA3F53">
        <w:trPr>
          <w:gridBefore w:val="1"/>
          <w:wBefore w:w="666" w:type="dxa"/>
          <w:trHeight w:val="529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8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продажи имущества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61,6</w:t>
            </w:r>
          </w:p>
        </w:tc>
        <w:tc>
          <w:tcPr>
            <w:tcW w:w="2037" w:type="dxa"/>
          </w:tcPr>
          <w:p w:rsidR="00AA3F53" w:rsidRDefault="00D27C1B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3F53" w:rsidTr="00E034A2">
        <w:trPr>
          <w:gridBefore w:val="1"/>
          <w:wBefore w:w="666" w:type="dxa"/>
          <w:trHeight w:val="340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8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штрафы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2037" w:type="dxa"/>
          </w:tcPr>
          <w:p w:rsidR="00AA3F53" w:rsidRDefault="00D27C1B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3F53" w:rsidTr="00E034A2">
        <w:trPr>
          <w:gridBefore w:val="1"/>
          <w:wBefore w:w="666" w:type="dxa"/>
          <w:trHeight w:val="299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8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037" w:type="dxa"/>
          </w:tcPr>
          <w:p w:rsidR="00AA3F53" w:rsidRDefault="00D27C1B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A3F53" w:rsidTr="00E034A2">
        <w:trPr>
          <w:gridBefore w:val="1"/>
          <w:wBefore w:w="666" w:type="dxa"/>
          <w:trHeight w:val="597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AA3F53" w:rsidRPr="0043185A" w:rsidRDefault="00AA3F53" w:rsidP="00E034A2">
            <w:pPr>
              <w:jc w:val="both"/>
              <w:rPr>
                <w:b/>
                <w:sz w:val="24"/>
                <w:szCs w:val="24"/>
              </w:rPr>
            </w:pPr>
            <w:r w:rsidRPr="0043185A">
              <w:rPr>
                <w:b/>
                <w:sz w:val="24"/>
                <w:szCs w:val="24"/>
              </w:rPr>
              <w:t xml:space="preserve">Итого неналоговых </w:t>
            </w:r>
            <w:r w:rsidRPr="0043185A">
              <w:rPr>
                <w:b/>
                <w:sz w:val="24"/>
                <w:szCs w:val="24"/>
              </w:rPr>
              <w:lastRenderedPageBreak/>
              <w:t>доходов</w:t>
            </w:r>
          </w:p>
        </w:tc>
        <w:tc>
          <w:tcPr>
            <w:tcW w:w="1114" w:type="dxa"/>
          </w:tcPr>
          <w:p w:rsidR="00AA3F53" w:rsidRPr="0043185A" w:rsidRDefault="00AA3F53" w:rsidP="00E034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159,90</w:t>
            </w:r>
          </w:p>
        </w:tc>
        <w:tc>
          <w:tcPr>
            <w:tcW w:w="1447" w:type="dxa"/>
          </w:tcPr>
          <w:p w:rsidR="00AA3F53" w:rsidRPr="0043185A" w:rsidRDefault="00AA3F53" w:rsidP="00E034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159,9</w:t>
            </w:r>
          </w:p>
        </w:tc>
        <w:tc>
          <w:tcPr>
            <w:tcW w:w="2037" w:type="dxa"/>
          </w:tcPr>
          <w:p w:rsidR="00AA3F53" w:rsidRDefault="00D27C1B" w:rsidP="00E034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A3F53" w:rsidTr="00E034A2">
        <w:trPr>
          <w:gridBefore w:val="1"/>
          <w:wBefore w:w="666" w:type="dxa"/>
          <w:trHeight w:val="263"/>
        </w:trPr>
        <w:tc>
          <w:tcPr>
            <w:tcW w:w="679" w:type="dxa"/>
          </w:tcPr>
          <w:p w:rsidR="00AA3F53" w:rsidRDefault="00AA3F53" w:rsidP="00E034A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</w:tcPr>
          <w:p w:rsidR="00AA3F53" w:rsidRPr="0043185A" w:rsidRDefault="00AA3F53" w:rsidP="00E034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114" w:type="dxa"/>
          </w:tcPr>
          <w:p w:rsidR="00AA3F53" w:rsidRDefault="00AA3F53" w:rsidP="00E034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5259,9</w:t>
            </w:r>
          </w:p>
        </w:tc>
        <w:tc>
          <w:tcPr>
            <w:tcW w:w="1447" w:type="dxa"/>
          </w:tcPr>
          <w:p w:rsidR="00AA3F53" w:rsidRDefault="00AA3F53" w:rsidP="00E034A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6244,3</w:t>
            </w:r>
          </w:p>
        </w:tc>
        <w:tc>
          <w:tcPr>
            <w:tcW w:w="2037" w:type="dxa"/>
          </w:tcPr>
          <w:p w:rsidR="00AA3F53" w:rsidRPr="00D27C1B" w:rsidRDefault="00D27C1B" w:rsidP="00E034A2">
            <w:pPr>
              <w:jc w:val="both"/>
              <w:rPr>
                <w:b/>
                <w:sz w:val="24"/>
                <w:szCs w:val="24"/>
              </w:rPr>
            </w:pPr>
            <w:r w:rsidRPr="00D27C1B">
              <w:rPr>
                <w:b/>
                <w:sz w:val="24"/>
                <w:szCs w:val="24"/>
              </w:rPr>
              <w:t>118,7</w:t>
            </w:r>
          </w:p>
        </w:tc>
      </w:tr>
    </w:tbl>
    <w:p w:rsidR="009613C9" w:rsidRPr="0046465E" w:rsidRDefault="0046465E" w:rsidP="008E374D">
      <w:pPr>
        <w:jc w:val="both"/>
        <w:rPr>
          <w:sz w:val="24"/>
          <w:szCs w:val="24"/>
        </w:rPr>
      </w:pPr>
      <w:r w:rsidRPr="00E94CF5">
        <w:rPr>
          <w:sz w:val="24"/>
          <w:szCs w:val="24"/>
        </w:rPr>
        <w:t xml:space="preserve">Одним </w:t>
      </w:r>
      <w:r>
        <w:rPr>
          <w:sz w:val="24"/>
          <w:szCs w:val="24"/>
        </w:rPr>
        <w:t xml:space="preserve"> из важнейших показателей качества уровня жизни является  повышение  материального положения поселения. В  этой связи  </w:t>
      </w:r>
      <w:proofErr w:type="spellStart"/>
      <w:r>
        <w:rPr>
          <w:sz w:val="24"/>
          <w:szCs w:val="24"/>
        </w:rPr>
        <w:t>Шебалинское</w:t>
      </w:r>
      <w:proofErr w:type="spellEnd"/>
      <w:r>
        <w:rPr>
          <w:sz w:val="24"/>
          <w:szCs w:val="24"/>
        </w:rPr>
        <w:t xml:space="preserve"> сельское поселение   приложила особые усилия к тому, чтобы позитивные изменения в экономике поселения позитивно сказались и на жизни людей, проживающих на территории сельского поселения.</w:t>
      </w:r>
    </w:p>
    <w:p w:rsidR="009613C9" w:rsidRDefault="00D27C1B" w:rsidP="008E374D">
      <w:pPr>
        <w:jc w:val="both"/>
        <w:rPr>
          <w:sz w:val="24"/>
          <w:szCs w:val="24"/>
        </w:rPr>
      </w:pPr>
      <w:proofErr w:type="gramStart"/>
      <w:r w:rsidRPr="00D27C1B">
        <w:rPr>
          <w:sz w:val="24"/>
          <w:szCs w:val="24"/>
        </w:rPr>
        <w:t>Реализация</w:t>
      </w:r>
      <w:r>
        <w:rPr>
          <w:sz w:val="24"/>
          <w:szCs w:val="24"/>
        </w:rPr>
        <w:t xml:space="preserve"> </w:t>
      </w:r>
      <w:r w:rsidR="00464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муниципальных программ 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   направлена на защиту населения и территории от чрезвычайных ситуаций, обеспечение пожарной безопасности и безопасности людей на водных объектах в 2021 году позволила повысить уровень защищенности населения и </w:t>
      </w:r>
      <w:r w:rsidR="0016340E">
        <w:rPr>
          <w:sz w:val="24"/>
          <w:szCs w:val="24"/>
        </w:rPr>
        <w:t>территории поселения от  опасностей и угроз мирного времени, повысить эффективность деятельность органов управления и сил гражданской обороны, защиты населения и территории от чрезвычайных ситуаций природного и техногенного</w:t>
      </w:r>
      <w:proofErr w:type="gramEnd"/>
      <w:r w:rsidR="0016340E">
        <w:rPr>
          <w:sz w:val="24"/>
          <w:szCs w:val="24"/>
        </w:rPr>
        <w:t xml:space="preserve"> характера, обеспечения пожарной безопасности и безопасности людей на водных объектах, а также эффективно использовать средства бюджета для решения приоритетных задач по обеспечению защиты населения и территорий в условиях мирного времени, снизить риски пожаров и смягчить возможные их последствия, повысить  безопасность населения.</w:t>
      </w:r>
    </w:p>
    <w:p w:rsidR="0016340E" w:rsidRDefault="0016340E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в рамках реализации мероприятий муниципальных программ выполнены мероприятия, направлены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16340E" w:rsidRDefault="0016340E" w:rsidP="001634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эффективного предупреждения и ликвидации чрезвычайных ситуаций природного и техногенного характера, пожаров;</w:t>
      </w:r>
    </w:p>
    <w:p w:rsidR="0016340E" w:rsidRDefault="0016340E" w:rsidP="001634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Обеспечение и поддержание в готовности сил и средств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0023CF" w:rsidRDefault="000023CF" w:rsidP="001634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функций;</w:t>
      </w:r>
    </w:p>
    <w:p w:rsidR="000023CF" w:rsidRDefault="000023CF" w:rsidP="0016340E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направлены на содержание аппарата Администрации 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поселения, ведется работа по оформлению имущества в муниципальную собственность поселения.</w:t>
      </w:r>
    </w:p>
    <w:p w:rsidR="0016340E" w:rsidRDefault="0016340E" w:rsidP="001634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основных направлений муниципальных программ позволила:</w:t>
      </w:r>
    </w:p>
    <w:p w:rsidR="0016340E" w:rsidRDefault="0016340E" w:rsidP="001634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 снизить риски возникновения пожаров, чрезвычайных ситуаций, несчастных случаев;</w:t>
      </w:r>
    </w:p>
    <w:p w:rsidR="0016340E" w:rsidRDefault="0016340E" w:rsidP="0016340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23CF">
        <w:rPr>
          <w:sz w:val="24"/>
          <w:szCs w:val="24"/>
        </w:rPr>
        <w:t>повысить уровень безопасности населения от чрезвычайных ситуаций природного и техногенного характера;</w:t>
      </w:r>
    </w:p>
    <w:p w:rsidR="000023CF" w:rsidRDefault="000023CF" w:rsidP="007A14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-улучшить систему информирования населения для своевременного доведения информации об угрозе и возникновении чрезвычайных ситуаций.</w:t>
      </w:r>
    </w:p>
    <w:p w:rsidR="00A96E49" w:rsidRDefault="009330E5" w:rsidP="007A145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 2021 году реализован комплекс мероприятий по общественному порядку и противодействия преступности:</w:t>
      </w:r>
    </w:p>
    <w:p w:rsidR="009330E5" w:rsidRDefault="009330E5" w:rsidP="009330E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проведена работа по совершенствованию системы профилактических мер антитеррористической и </w:t>
      </w:r>
      <w:proofErr w:type="spellStart"/>
      <w:r>
        <w:rPr>
          <w:sz w:val="24"/>
          <w:szCs w:val="24"/>
        </w:rPr>
        <w:t>антиэкстремисткой</w:t>
      </w:r>
      <w:proofErr w:type="spellEnd"/>
      <w:r>
        <w:rPr>
          <w:sz w:val="24"/>
          <w:szCs w:val="24"/>
        </w:rPr>
        <w:t xml:space="preserve"> направленности-</w:t>
      </w:r>
      <w:r w:rsidR="00507594">
        <w:rPr>
          <w:sz w:val="24"/>
          <w:szCs w:val="24"/>
        </w:rPr>
        <w:t>6 ед.</w:t>
      </w:r>
    </w:p>
    <w:p w:rsidR="009330E5" w:rsidRDefault="009330E5" w:rsidP="009330E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проведе</w:t>
      </w:r>
      <w:r w:rsidR="00573F16">
        <w:rPr>
          <w:sz w:val="24"/>
          <w:szCs w:val="24"/>
        </w:rPr>
        <w:t>на работа по усилению антитеррористической защищенности объектов культуры</w:t>
      </w:r>
      <w:r w:rsidR="00507594">
        <w:rPr>
          <w:sz w:val="24"/>
          <w:szCs w:val="24"/>
        </w:rPr>
        <w:t>-2</w:t>
      </w:r>
      <w:r w:rsidR="00573F16">
        <w:rPr>
          <w:sz w:val="24"/>
          <w:szCs w:val="24"/>
        </w:rPr>
        <w:t>;</w:t>
      </w:r>
    </w:p>
    <w:p w:rsidR="00573F16" w:rsidRDefault="00573F16" w:rsidP="009330E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проводилась воспитательная, </w:t>
      </w:r>
      <w:proofErr w:type="spellStart"/>
      <w:r>
        <w:rPr>
          <w:sz w:val="24"/>
          <w:szCs w:val="24"/>
        </w:rPr>
        <w:t>пропагандисткая</w:t>
      </w:r>
      <w:proofErr w:type="spellEnd"/>
      <w:r>
        <w:rPr>
          <w:sz w:val="24"/>
          <w:szCs w:val="24"/>
        </w:rPr>
        <w:t xml:space="preserve"> работа с населением села, направленная на предупреждение террористической и экстремисткой деятельности, повышение бдительности</w:t>
      </w:r>
      <w:r w:rsidR="00507594">
        <w:rPr>
          <w:sz w:val="24"/>
          <w:szCs w:val="24"/>
        </w:rPr>
        <w:t xml:space="preserve"> -3</w:t>
      </w:r>
      <w:r>
        <w:rPr>
          <w:sz w:val="24"/>
          <w:szCs w:val="24"/>
        </w:rPr>
        <w:t>;</w:t>
      </w:r>
    </w:p>
    <w:p w:rsidR="00573F16" w:rsidRDefault="00573F16" w:rsidP="009330E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Проведена работа по уничтожению конопли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ыюта</w:t>
      </w:r>
      <w:proofErr w:type="spellEnd"/>
      <w:r>
        <w:rPr>
          <w:sz w:val="24"/>
          <w:szCs w:val="24"/>
        </w:rPr>
        <w:t>.</w:t>
      </w:r>
    </w:p>
    <w:p w:rsidR="00C13194" w:rsidRDefault="00573F16" w:rsidP="008E374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B7600">
        <w:rPr>
          <w:sz w:val="24"/>
          <w:szCs w:val="24"/>
        </w:rPr>
        <w:t>Мероприятия были направлены на формирование</w:t>
      </w:r>
      <w:r w:rsidR="003B7600" w:rsidRPr="003B7600">
        <w:rPr>
          <w:sz w:val="24"/>
          <w:szCs w:val="24"/>
        </w:rPr>
        <w:t xml:space="preserve"> здорового образа жизни, профилактику вредных привычек, противоправного и </w:t>
      </w:r>
      <w:r w:rsidR="003B7600">
        <w:rPr>
          <w:sz w:val="24"/>
          <w:szCs w:val="24"/>
        </w:rPr>
        <w:t xml:space="preserve"> </w:t>
      </w:r>
      <w:r w:rsidR="00C13194">
        <w:rPr>
          <w:sz w:val="24"/>
          <w:szCs w:val="24"/>
        </w:rPr>
        <w:t xml:space="preserve"> зависимого поведения дополнительных образовательных   программ, развитие толерантности.</w:t>
      </w:r>
    </w:p>
    <w:p w:rsidR="00CB4BF3" w:rsidRDefault="00CB0E08" w:rsidP="00C13194">
      <w:pPr>
        <w:ind w:left="360"/>
        <w:jc w:val="both"/>
        <w:rPr>
          <w:sz w:val="24"/>
          <w:szCs w:val="24"/>
        </w:rPr>
      </w:pPr>
      <w:r w:rsidRPr="00C13194">
        <w:rPr>
          <w:sz w:val="24"/>
          <w:szCs w:val="24"/>
        </w:rPr>
        <w:t>Главной целью в сфере культуры сельского поселения является сохранение и развитие культурного потенциала, сохранени</w:t>
      </w:r>
      <w:r w:rsidR="00310893" w:rsidRPr="00C13194">
        <w:rPr>
          <w:sz w:val="24"/>
          <w:szCs w:val="24"/>
        </w:rPr>
        <w:t>е единого культурного пространства поселения, обеспечения доступа к культурным ценностям и  доступности услуг культуры для всех слоев населения.</w:t>
      </w:r>
    </w:p>
    <w:p w:rsidR="00CB0E08" w:rsidRPr="00C13194" w:rsidRDefault="00310893" w:rsidP="00C13194">
      <w:pPr>
        <w:ind w:left="360"/>
        <w:jc w:val="both"/>
        <w:rPr>
          <w:sz w:val="24"/>
          <w:szCs w:val="24"/>
        </w:rPr>
      </w:pPr>
      <w:r w:rsidRPr="00C13194">
        <w:rPr>
          <w:sz w:val="24"/>
          <w:szCs w:val="24"/>
        </w:rPr>
        <w:t xml:space="preserve"> Деятельность </w:t>
      </w:r>
      <w:proofErr w:type="spellStart"/>
      <w:r w:rsidRPr="00C13194">
        <w:rPr>
          <w:sz w:val="24"/>
          <w:szCs w:val="24"/>
        </w:rPr>
        <w:t>Шебалинского</w:t>
      </w:r>
      <w:proofErr w:type="spellEnd"/>
      <w:r w:rsidRPr="00C13194">
        <w:rPr>
          <w:sz w:val="24"/>
          <w:szCs w:val="24"/>
        </w:rPr>
        <w:t xml:space="preserve"> сельского поселения в области культуры и молодежной политики в поселении направлены </w:t>
      </w:r>
      <w:proofErr w:type="gramStart"/>
      <w:r w:rsidRPr="00C13194">
        <w:rPr>
          <w:sz w:val="24"/>
          <w:szCs w:val="24"/>
        </w:rPr>
        <w:t>на</w:t>
      </w:r>
      <w:proofErr w:type="gramEnd"/>
      <w:r w:rsidRPr="00C13194">
        <w:rPr>
          <w:sz w:val="24"/>
          <w:szCs w:val="24"/>
        </w:rPr>
        <w:t>:</w:t>
      </w:r>
    </w:p>
    <w:p w:rsidR="00310893" w:rsidRDefault="00310893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организацию мероприятий по работе с детьми и молодежью в поселении;</w:t>
      </w:r>
    </w:p>
    <w:p w:rsidR="00310893" w:rsidRDefault="00310893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-проведение культурно-массовых мероприятий, спортивных мероприятий</w:t>
      </w:r>
      <w:r w:rsidR="009F6F8C">
        <w:rPr>
          <w:sz w:val="24"/>
          <w:szCs w:val="24"/>
        </w:rPr>
        <w:t>.</w:t>
      </w:r>
    </w:p>
    <w:p w:rsidR="0068798A" w:rsidRDefault="0068798A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2021 году проведено </w:t>
      </w:r>
      <w:r w:rsidR="00824490">
        <w:rPr>
          <w:sz w:val="24"/>
          <w:szCs w:val="24"/>
        </w:rPr>
        <w:t>25</w:t>
      </w:r>
      <w:r>
        <w:rPr>
          <w:sz w:val="24"/>
          <w:szCs w:val="24"/>
        </w:rPr>
        <w:t xml:space="preserve"> мероприяти</w:t>
      </w:r>
      <w:r w:rsidR="00824490">
        <w:rPr>
          <w:sz w:val="24"/>
          <w:szCs w:val="24"/>
        </w:rPr>
        <w:t>й</w:t>
      </w:r>
      <w:r>
        <w:rPr>
          <w:sz w:val="24"/>
          <w:szCs w:val="24"/>
        </w:rPr>
        <w:t xml:space="preserve">. </w:t>
      </w:r>
      <w:r w:rsidR="00824490">
        <w:rPr>
          <w:sz w:val="24"/>
          <w:szCs w:val="24"/>
        </w:rPr>
        <w:t>Доля молодых  людей, участвующие в культурно-массовых мероприятиях поселения -35 %.</w:t>
      </w:r>
      <w:r w:rsidR="007A1458">
        <w:rPr>
          <w:sz w:val="24"/>
          <w:szCs w:val="24"/>
        </w:rPr>
        <w:t xml:space="preserve"> Число посетителей </w:t>
      </w:r>
      <w:proofErr w:type="spellStart"/>
      <w:r w:rsidR="007A1458">
        <w:rPr>
          <w:sz w:val="24"/>
          <w:szCs w:val="24"/>
        </w:rPr>
        <w:t>культурно-досуговых</w:t>
      </w:r>
      <w:proofErr w:type="spellEnd"/>
      <w:r w:rsidR="007A1458">
        <w:rPr>
          <w:sz w:val="24"/>
          <w:szCs w:val="24"/>
        </w:rPr>
        <w:t xml:space="preserve"> 183 чел.</w:t>
      </w:r>
    </w:p>
    <w:p w:rsidR="00CB4BF3" w:rsidRDefault="00C13194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CB4BF3">
        <w:rPr>
          <w:sz w:val="24"/>
          <w:szCs w:val="24"/>
        </w:rPr>
        <w:t xml:space="preserve"> установлены информационные стенды, связанные с охраной окружающей среды, регулярно проводятся субботники по благоустройству территории и санитарной очистке, предприятия и организации, а так же жители поселения принимают активное участие в проведении экологических субботников. Проведены дни защиты от экологических субботников, высажено 15 деревьев и кустарников, 250 цветов. Во время субботников приняло участие более 100 человек. Также осенью проводились субботники, где улучшается экологическая ситуация в поселении.</w:t>
      </w:r>
    </w:p>
    <w:p w:rsidR="00110E75" w:rsidRDefault="00CB4BF3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благоустройству территории </w:t>
      </w:r>
      <w:proofErr w:type="spellStart"/>
      <w:r>
        <w:rPr>
          <w:sz w:val="24"/>
          <w:szCs w:val="24"/>
        </w:rPr>
        <w:t>Шебалинского</w:t>
      </w:r>
      <w:proofErr w:type="spellEnd"/>
      <w:r>
        <w:rPr>
          <w:sz w:val="24"/>
          <w:szCs w:val="24"/>
        </w:rPr>
        <w:t xml:space="preserve"> </w:t>
      </w:r>
      <w:r w:rsidR="00110E75">
        <w:rPr>
          <w:sz w:val="24"/>
          <w:szCs w:val="24"/>
        </w:rPr>
        <w:t>сельского поселения достигнуты следующие основные результаты:</w:t>
      </w:r>
    </w:p>
    <w:p w:rsidR="00110E75" w:rsidRDefault="00110E75" w:rsidP="00110E7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содержание мест захоронения;</w:t>
      </w:r>
    </w:p>
    <w:p w:rsidR="00A94B3A" w:rsidRDefault="00A94B3A" w:rsidP="00110E7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благоустройства и озеленения территории поселения;</w:t>
      </w:r>
    </w:p>
    <w:p w:rsidR="00A94B3A" w:rsidRDefault="00A94B3A" w:rsidP="00110E7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Приведение в качественное состояние элементов благоустройства поселения;</w:t>
      </w:r>
    </w:p>
    <w:p w:rsidR="00A94B3A" w:rsidRDefault="00A94B3A" w:rsidP="00110E7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Привлечение жителей к участию в решении благоустройства территории;</w:t>
      </w:r>
    </w:p>
    <w:p w:rsidR="00A94B3A" w:rsidRDefault="00A94B3A" w:rsidP="00110E7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Улучшение санитарно-эпидемиологического состояния территории;</w:t>
      </w:r>
    </w:p>
    <w:p w:rsidR="00110E75" w:rsidRDefault="00110E75" w:rsidP="00110E7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Организация и содержание прочих объектов благоустройства,  в т.ч. ремонт памятников, изготовление баннеров;</w:t>
      </w:r>
    </w:p>
    <w:p w:rsidR="00A94B3A" w:rsidRPr="00A94B3A" w:rsidRDefault="00A94B3A" w:rsidP="00A94B3A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В результате основных мероприятий программы было обеспечено освещение территории поселения, по мере необходимости производился ремонт сетей уличного освещения.</w:t>
      </w:r>
    </w:p>
    <w:p w:rsidR="00110E75" w:rsidRDefault="00110E75" w:rsidP="00110E7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Проанализировать причины, повлиявшие на результаты оценки эффективности реализации муниципальных программ и принять соответствующие меры:</w:t>
      </w:r>
    </w:p>
    <w:p w:rsidR="00C13194" w:rsidRPr="00110E75" w:rsidRDefault="00110E75" w:rsidP="00110E75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Усилить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ходом реализации муниципальных программ, в том числе за своевременным внесений изменений в муниципальные программы, особенно по объемам финансирования, утверждением планов реализации муниципальных программ.</w:t>
      </w:r>
      <w:r w:rsidR="00CB4BF3" w:rsidRPr="00110E75">
        <w:rPr>
          <w:sz w:val="24"/>
          <w:szCs w:val="24"/>
        </w:rPr>
        <w:t xml:space="preserve"> </w:t>
      </w:r>
    </w:p>
    <w:p w:rsidR="00CB4BF3" w:rsidRDefault="00A94B3A" w:rsidP="008E374D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оценки хода реализации муниципальной программы предусмотрена система  целевых показателей (индикаторов) муниципальной программы:</w:t>
      </w:r>
    </w:p>
    <w:p w:rsidR="00A94B3A" w:rsidRPr="00A94B3A" w:rsidRDefault="00A94B3A" w:rsidP="00A94B3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Удовлетворенность жителей поселения благоустройством территории поселения (% удовлетворенных жителей от количества опрошенных жителей)- на 2021 год установлен 30% от 70 опрошенных человек.</w:t>
      </w:r>
    </w:p>
    <w:p w:rsidR="00E94CF5" w:rsidRPr="00E94CF5" w:rsidRDefault="00E94CF5" w:rsidP="00E94CF5">
      <w:pPr>
        <w:pStyle w:val="a3"/>
        <w:jc w:val="both"/>
        <w:rPr>
          <w:sz w:val="24"/>
          <w:szCs w:val="24"/>
        </w:rPr>
      </w:pPr>
    </w:p>
    <w:sectPr w:rsidR="00E94CF5" w:rsidRPr="00E94CF5" w:rsidSect="00A4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0143"/>
    <w:multiLevelType w:val="hybridMultilevel"/>
    <w:tmpl w:val="409E581C"/>
    <w:lvl w:ilvl="0" w:tplc="499E86E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EE0"/>
    <w:multiLevelType w:val="hybridMultilevel"/>
    <w:tmpl w:val="B76660A4"/>
    <w:lvl w:ilvl="0" w:tplc="43BE2DF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374D"/>
    <w:rsid w:val="000023CF"/>
    <w:rsid w:val="00012819"/>
    <w:rsid w:val="000C2E80"/>
    <w:rsid w:val="00110E75"/>
    <w:rsid w:val="0016340E"/>
    <w:rsid w:val="001F4935"/>
    <w:rsid w:val="00310893"/>
    <w:rsid w:val="0038473E"/>
    <w:rsid w:val="003A676F"/>
    <w:rsid w:val="003B7600"/>
    <w:rsid w:val="0043185A"/>
    <w:rsid w:val="0046465E"/>
    <w:rsid w:val="004967E5"/>
    <w:rsid w:val="004A6D5E"/>
    <w:rsid w:val="00507594"/>
    <w:rsid w:val="005508B8"/>
    <w:rsid w:val="00573F16"/>
    <w:rsid w:val="00585AAE"/>
    <w:rsid w:val="005F6BF5"/>
    <w:rsid w:val="00600346"/>
    <w:rsid w:val="00677A1D"/>
    <w:rsid w:val="0068798A"/>
    <w:rsid w:val="006B76D8"/>
    <w:rsid w:val="00701B75"/>
    <w:rsid w:val="00782472"/>
    <w:rsid w:val="007A1458"/>
    <w:rsid w:val="00824490"/>
    <w:rsid w:val="008E374D"/>
    <w:rsid w:val="009330E5"/>
    <w:rsid w:val="00943480"/>
    <w:rsid w:val="009613C9"/>
    <w:rsid w:val="009F6F8C"/>
    <w:rsid w:val="00A47946"/>
    <w:rsid w:val="00A94B3A"/>
    <w:rsid w:val="00A96E49"/>
    <w:rsid w:val="00AA3F53"/>
    <w:rsid w:val="00AB502B"/>
    <w:rsid w:val="00AD1107"/>
    <w:rsid w:val="00AD4059"/>
    <w:rsid w:val="00C13194"/>
    <w:rsid w:val="00C37F99"/>
    <w:rsid w:val="00C877E4"/>
    <w:rsid w:val="00CB0E08"/>
    <w:rsid w:val="00CB4BF3"/>
    <w:rsid w:val="00D27C1B"/>
    <w:rsid w:val="00D43ED9"/>
    <w:rsid w:val="00D52BD8"/>
    <w:rsid w:val="00D81B82"/>
    <w:rsid w:val="00E15C7A"/>
    <w:rsid w:val="00E94CF5"/>
    <w:rsid w:val="00ED3630"/>
    <w:rsid w:val="00EE67BC"/>
    <w:rsid w:val="00F3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C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57DE9-1E2F-4A4A-BB25-8AACFE7BB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2022-04-04T02:25:00Z</cp:lastPrinted>
  <dcterms:created xsi:type="dcterms:W3CDTF">2022-04-01T01:30:00Z</dcterms:created>
  <dcterms:modified xsi:type="dcterms:W3CDTF">2022-04-04T04:37:00Z</dcterms:modified>
</cp:coreProperties>
</file>